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A" w:rsidRPr="000A671D" w:rsidRDefault="005556FA" w:rsidP="005556FA">
      <w:pPr>
        <w:spacing w:line="540" w:lineRule="exact"/>
        <w:rPr>
          <w:rFonts w:ascii="仿宋_GB2312" w:hint="eastAsia"/>
          <w:sz w:val="30"/>
          <w:szCs w:val="30"/>
        </w:rPr>
      </w:pPr>
      <w:r w:rsidRPr="000A671D">
        <w:rPr>
          <w:rFonts w:ascii="仿宋_GB2312" w:hint="eastAsia"/>
          <w:sz w:val="30"/>
          <w:szCs w:val="30"/>
        </w:rPr>
        <w:t>附件1</w:t>
      </w:r>
    </w:p>
    <w:p w:rsidR="005556FA" w:rsidRPr="000A671D" w:rsidRDefault="005556FA" w:rsidP="005556FA">
      <w:pPr>
        <w:spacing w:line="540" w:lineRule="exact"/>
        <w:rPr>
          <w:rFonts w:ascii="仿宋_GB2312" w:hint="eastAsia"/>
          <w:sz w:val="30"/>
          <w:szCs w:val="30"/>
        </w:rPr>
      </w:pPr>
    </w:p>
    <w:tbl>
      <w:tblPr>
        <w:tblW w:w="14137" w:type="dxa"/>
        <w:tblInd w:w="-34" w:type="dxa"/>
        <w:tblLook w:val="0000"/>
      </w:tblPr>
      <w:tblGrid>
        <w:gridCol w:w="767"/>
        <w:gridCol w:w="1540"/>
        <w:gridCol w:w="5380"/>
        <w:gridCol w:w="3615"/>
        <w:gridCol w:w="1559"/>
        <w:gridCol w:w="1276"/>
      </w:tblGrid>
      <w:tr w:rsidR="005556FA" w:rsidRPr="000A671D" w:rsidTr="003E0E02">
        <w:trPr>
          <w:trHeight w:val="739"/>
        </w:trPr>
        <w:tc>
          <w:tcPr>
            <w:tcW w:w="14137" w:type="dxa"/>
            <w:gridSpan w:val="6"/>
            <w:tcBorders>
              <w:top w:val="nil"/>
              <w:left w:val="nil"/>
              <w:bottom w:val="nil"/>
              <w:right w:val="nil"/>
            </w:tcBorders>
            <w:noWrap/>
            <w:vAlign w:val="center"/>
          </w:tcPr>
          <w:p w:rsidR="005556FA" w:rsidRPr="000A671D" w:rsidRDefault="005556FA" w:rsidP="003E0E02">
            <w:pPr>
              <w:widowControl/>
              <w:spacing w:line="540" w:lineRule="exact"/>
              <w:jc w:val="center"/>
              <w:rPr>
                <w:rFonts w:ascii="仿宋_GB2312" w:hAnsi="宋体" w:cs="宋体" w:hint="eastAsia"/>
                <w:color w:val="000000"/>
                <w:kern w:val="0"/>
                <w:sz w:val="30"/>
                <w:szCs w:val="30"/>
              </w:rPr>
            </w:pPr>
            <w:r w:rsidRPr="000A671D">
              <w:rPr>
                <w:rFonts w:ascii="仿宋_GB2312" w:hAnsi="宋体" w:cs="宋体" w:hint="eastAsia"/>
                <w:color w:val="000000"/>
                <w:kern w:val="0"/>
                <w:sz w:val="30"/>
                <w:szCs w:val="30"/>
              </w:rPr>
              <w:t>陕西省应急管理</w:t>
            </w:r>
            <w:proofErr w:type="gramStart"/>
            <w:r w:rsidRPr="000A671D">
              <w:rPr>
                <w:rFonts w:ascii="仿宋_GB2312" w:hAnsi="宋体" w:cs="宋体" w:hint="eastAsia"/>
                <w:color w:val="000000"/>
                <w:kern w:val="0"/>
                <w:sz w:val="30"/>
                <w:szCs w:val="30"/>
              </w:rPr>
              <w:t>厅科研</w:t>
            </w:r>
            <w:proofErr w:type="gramEnd"/>
            <w:r w:rsidRPr="000A671D">
              <w:rPr>
                <w:rFonts w:ascii="仿宋_GB2312" w:hAnsi="宋体" w:cs="宋体" w:hint="eastAsia"/>
                <w:color w:val="000000"/>
                <w:kern w:val="0"/>
                <w:sz w:val="30"/>
                <w:szCs w:val="30"/>
              </w:rPr>
              <w:t>课题名录</w:t>
            </w:r>
          </w:p>
        </w:tc>
      </w:tr>
      <w:tr w:rsidR="005556FA" w:rsidRPr="000A671D" w:rsidTr="003E0E02">
        <w:trPr>
          <w:trHeight w:val="619"/>
        </w:trPr>
        <w:tc>
          <w:tcPr>
            <w:tcW w:w="767" w:type="dxa"/>
            <w:tcBorders>
              <w:top w:val="single" w:sz="4" w:space="0" w:color="auto"/>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宋体" w:cs="宋体" w:hint="eastAsia"/>
                <w:bCs/>
                <w:color w:val="000000"/>
                <w:kern w:val="0"/>
                <w:sz w:val="30"/>
                <w:szCs w:val="30"/>
              </w:rPr>
            </w:pPr>
            <w:r w:rsidRPr="000A671D">
              <w:rPr>
                <w:rFonts w:ascii="仿宋_GB2312" w:hAnsi="宋体" w:cs="宋体" w:hint="eastAsia"/>
                <w:bCs/>
                <w:color w:val="000000"/>
                <w:kern w:val="0"/>
                <w:sz w:val="30"/>
                <w:szCs w:val="30"/>
              </w:rPr>
              <w:t>序号</w:t>
            </w:r>
          </w:p>
        </w:tc>
        <w:tc>
          <w:tcPr>
            <w:tcW w:w="1540" w:type="dxa"/>
            <w:tcBorders>
              <w:top w:val="single" w:sz="4" w:space="0" w:color="auto"/>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宋体" w:cs="宋体" w:hint="eastAsia"/>
                <w:bCs/>
                <w:color w:val="000000"/>
                <w:kern w:val="0"/>
                <w:sz w:val="30"/>
                <w:szCs w:val="30"/>
              </w:rPr>
            </w:pPr>
            <w:r w:rsidRPr="000A671D">
              <w:rPr>
                <w:rFonts w:ascii="仿宋_GB2312" w:hAnsi="宋体" w:cs="宋体" w:hint="eastAsia"/>
                <w:bCs/>
                <w:color w:val="000000"/>
                <w:kern w:val="0"/>
                <w:sz w:val="30"/>
                <w:szCs w:val="30"/>
              </w:rPr>
              <w:t>课题名称</w:t>
            </w:r>
          </w:p>
        </w:tc>
        <w:tc>
          <w:tcPr>
            <w:tcW w:w="5380" w:type="dxa"/>
            <w:tcBorders>
              <w:top w:val="single" w:sz="4" w:space="0" w:color="auto"/>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宋体" w:cs="宋体" w:hint="eastAsia"/>
                <w:bCs/>
                <w:color w:val="000000"/>
                <w:kern w:val="0"/>
                <w:sz w:val="30"/>
                <w:szCs w:val="30"/>
              </w:rPr>
            </w:pPr>
            <w:r w:rsidRPr="000A671D">
              <w:rPr>
                <w:rFonts w:ascii="仿宋_GB2312" w:hAnsi="宋体" w:cs="宋体" w:hint="eastAsia"/>
                <w:bCs/>
                <w:color w:val="000000"/>
                <w:kern w:val="0"/>
                <w:sz w:val="30"/>
                <w:szCs w:val="30"/>
              </w:rPr>
              <w:t>研究内容</w:t>
            </w:r>
          </w:p>
        </w:tc>
        <w:tc>
          <w:tcPr>
            <w:tcW w:w="3615" w:type="dxa"/>
            <w:tcBorders>
              <w:top w:val="single" w:sz="4" w:space="0" w:color="auto"/>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宋体" w:cs="宋体" w:hint="eastAsia"/>
                <w:bCs/>
                <w:color w:val="000000"/>
                <w:kern w:val="0"/>
                <w:sz w:val="30"/>
                <w:szCs w:val="30"/>
              </w:rPr>
            </w:pPr>
            <w:r w:rsidRPr="000A671D">
              <w:rPr>
                <w:rFonts w:ascii="仿宋_GB2312" w:hAnsi="宋体" w:cs="宋体" w:hint="eastAsia"/>
                <w:bCs/>
                <w:color w:val="000000"/>
                <w:kern w:val="0"/>
                <w:sz w:val="30"/>
                <w:szCs w:val="30"/>
              </w:rPr>
              <w:t>验收标准</w:t>
            </w:r>
          </w:p>
        </w:tc>
        <w:tc>
          <w:tcPr>
            <w:tcW w:w="1559" w:type="dxa"/>
            <w:tcBorders>
              <w:top w:val="single" w:sz="4" w:space="0" w:color="auto"/>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宋体" w:cs="宋体" w:hint="eastAsia"/>
                <w:bCs/>
                <w:color w:val="000000"/>
                <w:kern w:val="0"/>
                <w:sz w:val="30"/>
                <w:szCs w:val="30"/>
              </w:rPr>
            </w:pPr>
            <w:r w:rsidRPr="000A671D">
              <w:rPr>
                <w:rFonts w:ascii="仿宋_GB2312" w:hAnsi="宋体" w:cs="宋体" w:hint="eastAsia"/>
                <w:bCs/>
                <w:color w:val="000000"/>
                <w:kern w:val="0"/>
                <w:sz w:val="30"/>
                <w:szCs w:val="30"/>
              </w:rPr>
              <w:t>完成</w:t>
            </w:r>
            <w:r w:rsidRPr="000A671D">
              <w:rPr>
                <w:rFonts w:ascii="仿宋_GB2312" w:hAnsi="宋体" w:cs="宋体" w:hint="eastAsia"/>
                <w:bCs/>
                <w:color w:val="000000"/>
                <w:kern w:val="0"/>
                <w:sz w:val="30"/>
                <w:szCs w:val="30"/>
              </w:rPr>
              <w:br/>
              <w:t>时限</w:t>
            </w:r>
          </w:p>
        </w:tc>
        <w:tc>
          <w:tcPr>
            <w:tcW w:w="1276" w:type="dxa"/>
            <w:tcBorders>
              <w:top w:val="single" w:sz="4" w:space="0" w:color="auto"/>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宋体" w:cs="宋体" w:hint="eastAsia"/>
                <w:bCs/>
                <w:color w:val="000000"/>
                <w:kern w:val="0"/>
                <w:sz w:val="30"/>
                <w:szCs w:val="30"/>
              </w:rPr>
            </w:pPr>
            <w:r w:rsidRPr="000A671D">
              <w:rPr>
                <w:rFonts w:ascii="仿宋_GB2312" w:hAnsi="宋体" w:cs="宋体" w:hint="eastAsia"/>
                <w:bCs/>
                <w:color w:val="000000"/>
                <w:kern w:val="0"/>
                <w:sz w:val="30"/>
                <w:szCs w:val="30"/>
              </w:rPr>
              <w:t>责任</w:t>
            </w:r>
            <w:r w:rsidRPr="000A671D">
              <w:rPr>
                <w:rFonts w:ascii="仿宋_GB2312" w:hAnsi="宋体" w:cs="宋体" w:hint="eastAsia"/>
                <w:bCs/>
                <w:color w:val="000000"/>
                <w:kern w:val="0"/>
                <w:sz w:val="30"/>
                <w:szCs w:val="30"/>
              </w:rPr>
              <w:br/>
              <w:t>处室</w:t>
            </w:r>
          </w:p>
        </w:tc>
      </w:tr>
      <w:tr w:rsidR="005556FA" w:rsidRPr="000A671D" w:rsidTr="003E0E02">
        <w:trPr>
          <w:trHeight w:val="216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《省域、市域、重点行业领域安全水平评价方法》</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研究省、</w:t>
            </w:r>
            <w:proofErr w:type="gramStart"/>
            <w:r w:rsidRPr="000A671D">
              <w:rPr>
                <w:rFonts w:ascii="仿宋_GB2312" w:hAnsi="仿宋" w:cs="宋体" w:hint="eastAsia"/>
                <w:color w:val="000000"/>
                <w:kern w:val="0"/>
                <w:sz w:val="30"/>
                <w:szCs w:val="30"/>
              </w:rPr>
              <w:t>市区域</w:t>
            </w:r>
            <w:proofErr w:type="gramEnd"/>
            <w:r w:rsidRPr="000A671D">
              <w:rPr>
                <w:rFonts w:ascii="仿宋_GB2312" w:hAnsi="仿宋" w:cs="宋体" w:hint="eastAsia"/>
                <w:color w:val="000000"/>
                <w:kern w:val="0"/>
                <w:sz w:val="30"/>
                <w:szCs w:val="30"/>
              </w:rPr>
              <w:t>和交通、建筑、矿山、机械加工等重点行业领域的评价体系及其构成、评价方法、安全水平的判定和安全生产水平的具体评价指标。如评价组织方式、评价范围以及对象、群众满意度调查内容等，反映安全水平的事故绝对、相对指标的设置以及如何用综合指标表示安全水平的高低等。</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形成《省域、市域、重点行业领域安全水平评价方法》。</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val="restart"/>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调查评估和统计处</w:t>
            </w:r>
          </w:p>
        </w:tc>
      </w:tr>
      <w:tr w:rsidR="005556FA" w:rsidRPr="000A671D" w:rsidTr="003E0E02">
        <w:trPr>
          <w:trHeight w:val="150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2</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《自然灾害评估方法及机制制度》</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研究机制、制度、内容、评估方法等。如评估工作职责规定、组织制度、规范性工作程序，不同种类灾害评估的数据采集、风险计算模型建立等，评估灾害过程、灾情损失、灾害应对等。</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形成《自然灾害调查评估方法及制度机制研究》报告。</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r w:rsidR="005556FA" w:rsidRPr="000A671D" w:rsidTr="003E0E02">
        <w:trPr>
          <w:trHeight w:val="1579"/>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3</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《应急救援基地布局规划研究》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目前正在进行后期文档起草工作，拟在全省布局榆林、宝鸡、安康、汉中四个综合性救援基地，拟在秦岭周边和延安市布局两个森林消防救援基地。请课题组根据我省灾情分布情况，救援需要，对基地布局的合理性进行论证。</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提出我省应急救援基地建设论证报告。</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val="restart"/>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救援协调和预案管理局</w:t>
            </w:r>
          </w:p>
        </w:tc>
      </w:tr>
      <w:tr w:rsidR="005556FA" w:rsidRPr="000A671D" w:rsidTr="003E0E02">
        <w:trPr>
          <w:trHeight w:val="174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4</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《陕西省应急管理事业“十四五”应</w:t>
            </w:r>
            <w:r w:rsidRPr="000A671D">
              <w:rPr>
                <w:rFonts w:ascii="仿宋_GB2312" w:hAnsi="仿宋" w:cs="宋体" w:hint="eastAsia"/>
                <w:color w:val="000000"/>
                <w:kern w:val="0"/>
                <w:sz w:val="30"/>
                <w:szCs w:val="30"/>
              </w:rPr>
              <w:lastRenderedPageBreak/>
              <w:t>急救援能力建设目标论证研究》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已开始着手应急管理事业“十四五”规划，队伍能力提升项目的可行性研究工作。目前已完成招投标工作。</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通过“十四五”建设，我省应急救援队伍、基地规模，以及能力效率提出量化指标，或者定性指标，</w:t>
            </w:r>
            <w:r w:rsidRPr="000A671D">
              <w:rPr>
                <w:rFonts w:ascii="仿宋_GB2312" w:hAnsi="仿宋" w:cs="宋体" w:hint="eastAsia"/>
                <w:color w:val="000000"/>
                <w:kern w:val="0"/>
                <w:sz w:val="30"/>
                <w:szCs w:val="30"/>
              </w:rPr>
              <w:lastRenderedPageBreak/>
              <w:t>并纳入“十四五”规划。</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r w:rsidR="005556FA" w:rsidRPr="000A671D" w:rsidTr="003E0E02">
        <w:trPr>
          <w:trHeight w:val="2959"/>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5</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《灾情核查损失评估制度机制方法研究》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研究如何进一步加强灾情信息员队伍建设、强化灾情管理属地责任、落实灾情统计要求、加强灾情核查评估、自然灾害风险和灾情会商制度和如何借助第三</w:t>
            </w:r>
            <w:proofErr w:type="gramStart"/>
            <w:r w:rsidRPr="000A671D">
              <w:rPr>
                <w:rFonts w:ascii="仿宋_GB2312" w:hAnsi="仿宋" w:cs="宋体" w:hint="eastAsia"/>
                <w:color w:val="000000"/>
                <w:kern w:val="0"/>
                <w:sz w:val="30"/>
                <w:szCs w:val="30"/>
              </w:rPr>
              <w:t>方服务</w:t>
            </w:r>
            <w:proofErr w:type="gramEnd"/>
            <w:r w:rsidRPr="000A671D">
              <w:rPr>
                <w:rFonts w:ascii="仿宋_GB2312" w:hAnsi="仿宋" w:cs="宋体" w:hint="eastAsia"/>
                <w:color w:val="000000"/>
                <w:kern w:val="0"/>
                <w:sz w:val="30"/>
                <w:szCs w:val="30"/>
              </w:rPr>
              <w:t>开展灾情核查制度。</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制定《陕西省自然灾害灾情管理办法》。协调省农业、林业、果业、工信、水利、交通、电力、铁路、航空、气象等部门及相关工作人员，灾后及时向省应急厅报送有关灾情数据;规范省应急厅向有关国家部委、省级部门共享灾情信息的方式、对象、时限、内容等要求。</w:t>
            </w:r>
            <w:r w:rsidRPr="000A671D">
              <w:rPr>
                <w:rFonts w:ascii="仿宋_GB2312" w:hAnsi="仿宋" w:cs="宋体" w:hint="eastAsia"/>
                <w:color w:val="000000"/>
                <w:kern w:val="0"/>
                <w:sz w:val="30"/>
                <w:szCs w:val="30"/>
              </w:rPr>
              <w:lastRenderedPageBreak/>
              <w:t>（2）制定《陕西省自然灾害灾情评估办法》。对路、水、电、企业、农业、林业等损失情况制定</w:t>
            </w:r>
            <w:proofErr w:type="gramStart"/>
            <w:r w:rsidRPr="000A671D">
              <w:rPr>
                <w:rFonts w:ascii="仿宋_GB2312" w:hAnsi="仿宋" w:cs="宋体" w:hint="eastAsia"/>
                <w:color w:val="000000"/>
                <w:kern w:val="0"/>
                <w:sz w:val="30"/>
                <w:szCs w:val="30"/>
              </w:rPr>
              <w:t>简单损失</w:t>
            </w:r>
            <w:proofErr w:type="gramEnd"/>
            <w:r w:rsidRPr="000A671D">
              <w:rPr>
                <w:rFonts w:ascii="仿宋_GB2312" w:hAnsi="仿宋" w:cs="宋体" w:hint="eastAsia"/>
                <w:color w:val="000000"/>
                <w:kern w:val="0"/>
                <w:sz w:val="30"/>
                <w:szCs w:val="30"/>
              </w:rPr>
              <w:t>评估一览表，方便各级灾情管理人员及时把握灾情，评估灾害损失。</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合同签订后一年</w:t>
            </w:r>
          </w:p>
        </w:tc>
        <w:tc>
          <w:tcPr>
            <w:tcW w:w="1276" w:type="dxa"/>
            <w:vMerge w:val="restart"/>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救灾和物资保障处</w:t>
            </w:r>
          </w:p>
        </w:tc>
      </w:tr>
      <w:tr w:rsidR="005556FA" w:rsidRPr="000A671D" w:rsidTr="003E0E02">
        <w:trPr>
          <w:trHeight w:val="3282"/>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6</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（1）《全省救灾物资储备和救灾装备规划研究》</w:t>
            </w:r>
            <w:r w:rsidRPr="000A671D">
              <w:rPr>
                <w:rFonts w:ascii="仿宋_GB2312" w:hAnsi="仿宋" w:cs="宋体" w:hint="eastAsia"/>
                <w:color w:val="000000"/>
                <w:kern w:val="0"/>
                <w:sz w:val="30"/>
                <w:szCs w:val="30"/>
              </w:rPr>
              <w:br/>
              <w:t>（2）《全省救灾物</w:t>
            </w:r>
            <w:r w:rsidRPr="000A671D">
              <w:rPr>
                <w:rFonts w:ascii="仿宋_GB2312" w:hAnsi="仿宋" w:cs="宋体" w:hint="eastAsia"/>
                <w:color w:val="000000"/>
                <w:kern w:val="0"/>
                <w:sz w:val="30"/>
                <w:szCs w:val="30"/>
              </w:rPr>
              <w:lastRenderedPageBreak/>
              <w:t>资储备及救灾装备种类、数量、需求研究》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研究应急物资实物储备、商业储备、生产力储备、应急救援装备目录，救援</w:t>
            </w:r>
            <w:proofErr w:type="gramStart"/>
            <w:r w:rsidRPr="000A671D">
              <w:rPr>
                <w:rFonts w:ascii="仿宋_GB2312" w:hAnsi="仿宋" w:cs="宋体" w:hint="eastAsia"/>
                <w:color w:val="000000"/>
                <w:kern w:val="0"/>
                <w:sz w:val="30"/>
                <w:szCs w:val="30"/>
              </w:rPr>
              <w:t>人员携行装备</w:t>
            </w:r>
            <w:proofErr w:type="gramEnd"/>
            <w:r w:rsidRPr="000A671D">
              <w:rPr>
                <w:rFonts w:ascii="仿宋_GB2312" w:hAnsi="仿宋" w:cs="宋体" w:hint="eastAsia"/>
                <w:color w:val="000000"/>
                <w:kern w:val="0"/>
                <w:sz w:val="30"/>
                <w:szCs w:val="30"/>
              </w:rPr>
              <w:t>和运行装备子目录等。结合全省实际提出应急物资储备规模、数量（是否按照人口比例）和省、市、县各级应急物资储备比例及品种侧重。论证出应急物资和救援装备紧急采购、调运、征用和补偿办法以及日常管理、维护保</w:t>
            </w:r>
            <w:r w:rsidRPr="000A671D">
              <w:rPr>
                <w:rFonts w:ascii="仿宋_GB2312" w:hAnsi="仿宋" w:cs="宋体" w:hint="eastAsia"/>
                <w:color w:val="000000"/>
                <w:kern w:val="0"/>
                <w:sz w:val="30"/>
                <w:szCs w:val="30"/>
              </w:rPr>
              <w:lastRenderedPageBreak/>
              <w:t>养办法。</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（1）制定《陕西省救灾物资与装备品种名目库》;</w:t>
            </w:r>
            <w:r w:rsidRPr="000A671D">
              <w:rPr>
                <w:rFonts w:ascii="仿宋_GB2312" w:hAnsi="仿宋" w:cs="宋体" w:hint="eastAsia"/>
                <w:color w:val="000000"/>
                <w:kern w:val="0"/>
                <w:sz w:val="30"/>
                <w:szCs w:val="30"/>
              </w:rPr>
              <w:br/>
              <w:t>（2）制定《陕西省救灾物资与装备储备规划》;</w:t>
            </w:r>
            <w:r w:rsidRPr="000A671D">
              <w:rPr>
                <w:rFonts w:ascii="仿宋_GB2312" w:hAnsi="仿宋" w:cs="宋体" w:hint="eastAsia"/>
                <w:color w:val="000000"/>
                <w:kern w:val="0"/>
                <w:sz w:val="30"/>
                <w:szCs w:val="30"/>
              </w:rPr>
              <w:br/>
              <w:t>（3）制定《陕西省救灾物资与装备储备年度计划》。</w:t>
            </w:r>
            <w:r w:rsidRPr="000A671D">
              <w:rPr>
                <w:rFonts w:ascii="仿宋_GB2312" w:hAnsi="仿宋" w:cs="宋体" w:hint="eastAsia"/>
                <w:color w:val="000000"/>
                <w:kern w:val="0"/>
                <w:sz w:val="30"/>
                <w:szCs w:val="30"/>
              </w:rPr>
              <w:br/>
              <w:t>分批次、分阶段，按照一次转移安置万人的工作目</w:t>
            </w:r>
            <w:r w:rsidRPr="000A671D">
              <w:rPr>
                <w:rFonts w:ascii="仿宋_GB2312" w:hAnsi="仿宋" w:cs="宋体" w:hint="eastAsia"/>
                <w:color w:val="000000"/>
                <w:kern w:val="0"/>
                <w:sz w:val="30"/>
                <w:szCs w:val="30"/>
              </w:rPr>
              <w:lastRenderedPageBreak/>
              <w:t>标，储备救灾物资。</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r w:rsidR="005556FA" w:rsidRPr="000A671D" w:rsidTr="003E0E02">
        <w:trPr>
          <w:trHeight w:val="264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7</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《救灾物资统一调度制度机制研究》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研究自然灾害类、事故灾难类和募捐应急物资的统一调度指挥机制；区别专项物资和通用物资；紧急状态下运输和配送系统；不同类型应急物资生产能力数据库，实时掌握不同类型应急物资的生产条件和生产能力。</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制定《陕西省救灾物资调拨办法》，对国家平台上的省级、市级、县级储备物资统一调拨，规范物流运输、高速公路费用减免、出入库对接、物资发放等事项。</w:t>
            </w:r>
            <w:r w:rsidRPr="000A671D">
              <w:rPr>
                <w:rFonts w:ascii="仿宋_GB2312" w:hAnsi="仿宋" w:cs="宋体" w:hint="eastAsia"/>
                <w:color w:val="000000"/>
                <w:kern w:val="0"/>
                <w:sz w:val="30"/>
                <w:szCs w:val="30"/>
              </w:rPr>
              <w:br/>
              <w:t>制定《陕西省救灾物资生产能力储备管理办法》，</w:t>
            </w:r>
            <w:r w:rsidRPr="000A671D">
              <w:rPr>
                <w:rFonts w:ascii="仿宋_GB2312" w:hAnsi="仿宋" w:cs="宋体" w:hint="eastAsia"/>
                <w:color w:val="000000"/>
                <w:kern w:val="0"/>
                <w:sz w:val="30"/>
                <w:szCs w:val="30"/>
              </w:rPr>
              <w:lastRenderedPageBreak/>
              <w:t>对一些产量大、储存期限短、易采购的物资，采取与生产厂家签署长期战略合作协议方式实施紧急采购，由厂家送货上门，既减少资金浪费，又满足应急需求。</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r w:rsidR="005556FA" w:rsidRPr="000A671D" w:rsidTr="003E0E02">
        <w:trPr>
          <w:trHeight w:val="240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8</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《引导机关和企事业单位强化应急物资储备和鼓励家庭开展必要的应急物</w:t>
            </w:r>
            <w:r w:rsidRPr="000A671D">
              <w:rPr>
                <w:rFonts w:ascii="仿宋_GB2312" w:hAnsi="仿宋" w:cs="宋体" w:hint="eastAsia"/>
                <w:color w:val="000000"/>
                <w:kern w:val="0"/>
                <w:sz w:val="30"/>
                <w:szCs w:val="30"/>
              </w:rPr>
              <w:lastRenderedPageBreak/>
              <w:t>资储备研究》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研究如何引导机关和企事业单位强化应急物资储备工作，鼓励并普及家庭开展必要的应急物资储备。</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(1)制定《陕西省应急管理厅应急物资储备规划》；(2)制定《陕西省家庭应急物资储备名目》；(3)制定《陕西省鼓励家庭储备应急物资方案》。</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救灾和物资保障处</w:t>
            </w:r>
          </w:p>
        </w:tc>
      </w:tr>
      <w:tr w:rsidR="005556FA" w:rsidRPr="000A671D" w:rsidTr="003E0E02">
        <w:trPr>
          <w:trHeight w:val="138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9</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《省重大灾害指挥部工作制度机制研究》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结合我省实际，研究适合我省的重大灾害指挥部工作制度机制。</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起草完成《陕西省重大灾害指挥部管理办法》的送审稿及说明材料。</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val="restart"/>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救援协调和预案管理局</w:t>
            </w:r>
          </w:p>
        </w:tc>
      </w:tr>
      <w:tr w:rsidR="005556FA" w:rsidRPr="000A671D" w:rsidTr="003E0E02">
        <w:trPr>
          <w:trHeight w:val="132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10</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《应急管理社会动员制度机制研究》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结合我省实际，研究适合我省的应急管理社会动员制度机制。</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起草完成《陕西省应急管理社会动员管理办法》的送审稿及说明材料。</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r w:rsidR="005556FA" w:rsidRPr="000A671D" w:rsidTr="003E0E02">
        <w:trPr>
          <w:trHeight w:val="276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11</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《应急指挥制度机制研究》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在对陕西省应急指挥人员、机构、资源等情况进行充分调研的基础上，构建应急指挥权力交接程序，完善衔接应急指挥制度层级设计；构建应急指挥制度机制，实现突发事件应急指挥各单位之间信息交互、通讯联系资源调配和媒体应对等各项应急响应活动的规范化、标准化，从而有利于逐渐形成应急指挥规范化、标准化运行机制，切实提高我省的应急响应与处置能力。</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组织有关科研机构、专业院校开展调查研究，拟定课题初稿，集合有关专家组成咨询评议专家组，审议完善形成初稿。初稿征求市区、部门意见后形成审批稿，按照有关程序审定。</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应急指挥中心</w:t>
            </w:r>
          </w:p>
        </w:tc>
      </w:tr>
      <w:tr w:rsidR="005556FA" w:rsidRPr="000A671D" w:rsidTr="003E0E02">
        <w:trPr>
          <w:trHeight w:val="3162"/>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12</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《突发事件应急指挥效能评估研究》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目前课题组研究成员已完成前期专家论证、研究人员组织调研、研究计划制定、研究方法确定等工作。已开展部分地区应急指挥组织机构的电话与实地调研工作，初步完成第一轮调研情况基础数据集；完成定性与定量相结合的研究方法的确定，以层次分析法与SPSS统计软件结合的分析方法构建指挥效能评估模型研究；前期团队调研单位与经费属于使用相关研究支出，后续深入持久的实地调研与经费需要厅里的相关支持。</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构建符合陕西省地方需求的应急指挥组织机构运行效能评估模型，完成应急指挥组织机构运行效能评估研究报告一份；根据相关研究成果在安全科学与应急管理领域刊物发表学术论文二篇；在科学合理的论证分析的基础上，完成应急指挥组织机构运行效能的考评办法，形成一份地方标准或者规范。</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应急指挥中心</w:t>
            </w:r>
          </w:p>
        </w:tc>
      </w:tr>
      <w:tr w:rsidR="005556FA" w:rsidRPr="000A671D" w:rsidTr="003E0E02">
        <w:trPr>
          <w:trHeight w:val="1459"/>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13</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《多种灾害和灾害链综合监</w:t>
            </w:r>
            <w:r w:rsidRPr="000A671D">
              <w:rPr>
                <w:rFonts w:ascii="仿宋_GB2312" w:hAnsi="仿宋" w:cs="宋体" w:hint="eastAsia"/>
                <w:color w:val="000000"/>
                <w:kern w:val="0"/>
                <w:sz w:val="30"/>
                <w:szCs w:val="30"/>
              </w:rPr>
              <w:lastRenderedPageBreak/>
              <w:t>测预警制度机制研究》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研究各灾种监测部门（气象、水利、自然资源等）目前监测手段及监测预警机制状况和监测信息共享、综合风险分析</w:t>
            </w:r>
            <w:proofErr w:type="gramStart"/>
            <w:r w:rsidRPr="000A671D">
              <w:rPr>
                <w:rFonts w:ascii="仿宋_GB2312" w:hAnsi="仿宋" w:cs="宋体" w:hint="eastAsia"/>
                <w:color w:val="000000"/>
                <w:kern w:val="0"/>
                <w:sz w:val="30"/>
                <w:szCs w:val="30"/>
              </w:rPr>
              <w:lastRenderedPageBreak/>
              <w:t>研</w:t>
            </w:r>
            <w:proofErr w:type="gramEnd"/>
            <w:r w:rsidRPr="000A671D">
              <w:rPr>
                <w:rFonts w:ascii="仿宋_GB2312" w:hAnsi="仿宋" w:cs="宋体" w:hint="eastAsia"/>
                <w:color w:val="000000"/>
                <w:kern w:val="0"/>
                <w:sz w:val="30"/>
                <w:szCs w:val="30"/>
              </w:rPr>
              <w:t>判及产品发布机制制度建设问题。</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形成《陕西省自然灾害综合监测预警工作制度建设的意见》。</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val="restart"/>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风险监测和综合减灾</w:t>
            </w:r>
            <w:r w:rsidRPr="000A671D">
              <w:rPr>
                <w:rFonts w:ascii="仿宋_GB2312" w:hAnsi="仿宋" w:cs="宋体" w:hint="eastAsia"/>
                <w:color w:val="000000"/>
                <w:kern w:val="0"/>
                <w:sz w:val="30"/>
                <w:szCs w:val="30"/>
              </w:rPr>
              <w:lastRenderedPageBreak/>
              <w:t>处</w:t>
            </w:r>
          </w:p>
        </w:tc>
      </w:tr>
      <w:tr w:rsidR="005556FA" w:rsidRPr="000A671D" w:rsidTr="003E0E02">
        <w:trPr>
          <w:trHeight w:val="1860"/>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lastRenderedPageBreak/>
              <w:t>14</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《基层减灾能力调查评估方法及制度研究》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研究基层社区组织治理、风险评估、隐患治理、基础设施建设、应急物资保障、应急力量建设、预案编制与预案演练、宣传教育、社会力量参与，家庭在减灾备灾、应急救援救助和恢复重建过程中资源能力现状等基层综合减灾能力标准化和基层减灾能力评估办法。</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形成《陕西省县（区）减灾能力建设标准》、《陕西省乡镇（社区）减灾能力建设标准及其评估打分细则》。</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r w:rsidR="005556FA" w:rsidRPr="000A671D" w:rsidTr="003E0E02">
        <w:trPr>
          <w:trHeight w:val="1339"/>
        </w:trPr>
        <w:tc>
          <w:tcPr>
            <w:tcW w:w="767" w:type="dxa"/>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15</w:t>
            </w:r>
          </w:p>
        </w:tc>
        <w:tc>
          <w:tcPr>
            <w:tcW w:w="154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《自然灾害综合风险调查评估方法研究》</w:t>
            </w:r>
          </w:p>
        </w:tc>
        <w:tc>
          <w:tcPr>
            <w:tcW w:w="5380"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自然灾害综合风险调查评估暂无标准化方法，通过对各类致灾因素和</w:t>
            </w:r>
            <w:proofErr w:type="gramStart"/>
            <w:r w:rsidRPr="000A671D">
              <w:rPr>
                <w:rFonts w:ascii="仿宋_GB2312" w:hAnsi="仿宋" w:cs="宋体" w:hint="eastAsia"/>
                <w:color w:val="000000"/>
                <w:kern w:val="0"/>
                <w:sz w:val="30"/>
                <w:szCs w:val="30"/>
              </w:rPr>
              <w:t>承灾</w:t>
            </w:r>
            <w:proofErr w:type="gramEnd"/>
            <w:r w:rsidRPr="000A671D">
              <w:rPr>
                <w:rFonts w:ascii="仿宋_GB2312" w:hAnsi="仿宋" w:cs="宋体" w:hint="eastAsia"/>
                <w:color w:val="000000"/>
                <w:kern w:val="0"/>
                <w:sz w:val="30"/>
                <w:szCs w:val="30"/>
              </w:rPr>
              <w:t>体综合分析，研究评估各地区自然灾害综合风险水平，提出自然灾害综合风险调查评估方法和路径。</w:t>
            </w:r>
          </w:p>
        </w:tc>
        <w:tc>
          <w:tcPr>
            <w:tcW w:w="3615"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形成陕西省县（区）自然灾害风险调查评估方法研究。</w:t>
            </w:r>
          </w:p>
        </w:tc>
        <w:tc>
          <w:tcPr>
            <w:tcW w:w="1559" w:type="dxa"/>
            <w:tcBorders>
              <w:top w:val="nil"/>
              <w:left w:val="nil"/>
              <w:bottom w:val="single" w:sz="4" w:space="0" w:color="auto"/>
              <w:right w:val="single" w:sz="4" w:space="0" w:color="auto"/>
            </w:tcBorders>
            <w:vAlign w:val="center"/>
          </w:tcPr>
          <w:p w:rsidR="005556FA" w:rsidRPr="000A671D" w:rsidRDefault="005556FA" w:rsidP="003E0E02">
            <w:pPr>
              <w:widowControl/>
              <w:spacing w:line="540" w:lineRule="exact"/>
              <w:jc w:val="center"/>
              <w:rPr>
                <w:rFonts w:ascii="仿宋_GB2312" w:hAnsi="仿宋" w:cs="宋体" w:hint="eastAsia"/>
                <w:color w:val="000000"/>
                <w:kern w:val="0"/>
                <w:sz w:val="30"/>
                <w:szCs w:val="30"/>
              </w:rPr>
            </w:pPr>
            <w:r w:rsidRPr="000A671D">
              <w:rPr>
                <w:rFonts w:ascii="仿宋_GB2312" w:hAnsi="仿宋" w:cs="宋体" w:hint="eastAsia"/>
                <w:color w:val="000000"/>
                <w:kern w:val="0"/>
                <w:sz w:val="30"/>
                <w:szCs w:val="30"/>
              </w:rPr>
              <w:t>合同签订后一年</w:t>
            </w:r>
          </w:p>
        </w:tc>
        <w:tc>
          <w:tcPr>
            <w:tcW w:w="1276" w:type="dxa"/>
            <w:vMerge/>
            <w:tcBorders>
              <w:top w:val="nil"/>
              <w:left w:val="single" w:sz="4" w:space="0" w:color="auto"/>
              <w:bottom w:val="single" w:sz="4" w:space="0" w:color="auto"/>
              <w:right w:val="single" w:sz="4" w:space="0" w:color="auto"/>
            </w:tcBorders>
            <w:vAlign w:val="center"/>
          </w:tcPr>
          <w:p w:rsidR="005556FA" w:rsidRPr="000A671D" w:rsidRDefault="005556FA" w:rsidP="003E0E02">
            <w:pPr>
              <w:widowControl/>
              <w:spacing w:line="540" w:lineRule="exact"/>
              <w:jc w:val="left"/>
              <w:rPr>
                <w:rFonts w:ascii="仿宋_GB2312" w:hAnsi="仿宋" w:cs="宋体" w:hint="eastAsia"/>
                <w:color w:val="000000"/>
                <w:kern w:val="0"/>
                <w:sz w:val="30"/>
                <w:szCs w:val="30"/>
              </w:rPr>
            </w:pPr>
          </w:p>
        </w:tc>
      </w:tr>
    </w:tbl>
    <w:p w:rsidR="00CE5338" w:rsidRDefault="00CE5338"/>
    <w:sectPr w:rsidR="00CE5338" w:rsidSect="005556F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6FA"/>
    <w:rsid w:val="00007297"/>
    <w:rsid w:val="00016A3E"/>
    <w:rsid w:val="00097741"/>
    <w:rsid w:val="000B553A"/>
    <w:rsid w:val="000E6266"/>
    <w:rsid w:val="000E64C8"/>
    <w:rsid w:val="000F5C89"/>
    <w:rsid w:val="000F7BB7"/>
    <w:rsid w:val="00100FEC"/>
    <w:rsid w:val="001246FD"/>
    <w:rsid w:val="00125600"/>
    <w:rsid w:val="00132545"/>
    <w:rsid w:val="001462DB"/>
    <w:rsid w:val="00151223"/>
    <w:rsid w:val="00156D9A"/>
    <w:rsid w:val="00163828"/>
    <w:rsid w:val="001642EE"/>
    <w:rsid w:val="00174AA1"/>
    <w:rsid w:val="00185599"/>
    <w:rsid w:val="0019209C"/>
    <w:rsid w:val="00192CB5"/>
    <w:rsid w:val="001940E6"/>
    <w:rsid w:val="001949D5"/>
    <w:rsid w:val="001F2129"/>
    <w:rsid w:val="001F31EB"/>
    <w:rsid w:val="002329F3"/>
    <w:rsid w:val="00240E8F"/>
    <w:rsid w:val="002456BF"/>
    <w:rsid w:val="00275EB9"/>
    <w:rsid w:val="002A24A6"/>
    <w:rsid w:val="002A5B78"/>
    <w:rsid w:val="002C46AB"/>
    <w:rsid w:val="002E1C49"/>
    <w:rsid w:val="002E60A0"/>
    <w:rsid w:val="002F2138"/>
    <w:rsid w:val="003125B9"/>
    <w:rsid w:val="003166CE"/>
    <w:rsid w:val="00336B1F"/>
    <w:rsid w:val="00355790"/>
    <w:rsid w:val="003B2EA8"/>
    <w:rsid w:val="00400F6A"/>
    <w:rsid w:val="004107DE"/>
    <w:rsid w:val="0043055D"/>
    <w:rsid w:val="004468FA"/>
    <w:rsid w:val="00485046"/>
    <w:rsid w:val="004B075C"/>
    <w:rsid w:val="004B2583"/>
    <w:rsid w:val="004B3A4D"/>
    <w:rsid w:val="004B73B0"/>
    <w:rsid w:val="004C39CD"/>
    <w:rsid w:val="004D084D"/>
    <w:rsid w:val="004E2E12"/>
    <w:rsid w:val="004E4E86"/>
    <w:rsid w:val="00510E27"/>
    <w:rsid w:val="00511185"/>
    <w:rsid w:val="005177F4"/>
    <w:rsid w:val="00526D7A"/>
    <w:rsid w:val="00541DFC"/>
    <w:rsid w:val="005556FA"/>
    <w:rsid w:val="005B32E3"/>
    <w:rsid w:val="005E50F7"/>
    <w:rsid w:val="006002CC"/>
    <w:rsid w:val="006134FB"/>
    <w:rsid w:val="00670A50"/>
    <w:rsid w:val="00670FF0"/>
    <w:rsid w:val="00681118"/>
    <w:rsid w:val="00682705"/>
    <w:rsid w:val="00693DF6"/>
    <w:rsid w:val="006A6204"/>
    <w:rsid w:val="006B3D9C"/>
    <w:rsid w:val="006C1968"/>
    <w:rsid w:val="006C74F7"/>
    <w:rsid w:val="006D0CF1"/>
    <w:rsid w:val="006D15D1"/>
    <w:rsid w:val="00707C8B"/>
    <w:rsid w:val="007226F4"/>
    <w:rsid w:val="00725BE3"/>
    <w:rsid w:val="00727B59"/>
    <w:rsid w:val="0075092D"/>
    <w:rsid w:val="00755693"/>
    <w:rsid w:val="00764473"/>
    <w:rsid w:val="007671A4"/>
    <w:rsid w:val="00772579"/>
    <w:rsid w:val="00772C6A"/>
    <w:rsid w:val="007863AC"/>
    <w:rsid w:val="007A3692"/>
    <w:rsid w:val="007C0467"/>
    <w:rsid w:val="007D7131"/>
    <w:rsid w:val="007E5777"/>
    <w:rsid w:val="008073E8"/>
    <w:rsid w:val="008117B4"/>
    <w:rsid w:val="00824197"/>
    <w:rsid w:val="00835E2D"/>
    <w:rsid w:val="00854893"/>
    <w:rsid w:val="00860811"/>
    <w:rsid w:val="0087093C"/>
    <w:rsid w:val="008C5858"/>
    <w:rsid w:val="008E67E5"/>
    <w:rsid w:val="009210B3"/>
    <w:rsid w:val="00934330"/>
    <w:rsid w:val="00934819"/>
    <w:rsid w:val="00943660"/>
    <w:rsid w:val="009459E2"/>
    <w:rsid w:val="009A34C0"/>
    <w:rsid w:val="009A64E6"/>
    <w:rsid w:val="009A692A"/>
    <w:rsid w:val="009D12D5"/>
    <w:rsid w:val="009D2605"/>
    <w:rsid w:val="009E1CF3"/>
    <w:rsid w:val="009E413B"/>
    <w:rsid w:val="009F4376"/>
    <w:rsid w:val="009F71B5"/>
    <w:rsid w:val="00A4330A"/>
    <w:rsid w:val="00A67D15"/>
    <w:rsid w:val="00A815C4"/>
    <w:rsid w:val="00A81636"/>
    <w:rsid w:val="00A82716"/>
    <w:rsid w:val="00A85BF1"/>
    <w:rsid w:val="00A91B35"/>
    <w:rsid w:val="00AA158C"/>
    <w:rsid w:val="00AC11E5"/>
    <w:rsid w:val="00AC6ED9"/>
    <w:rsid w:val="00AD0FAF"/>
    <w:rsid w:val="00AD2A08"/>
    <w:rsid w:val="00AF3A9A"/>
    <w:rsid w:val="00B06EE0"/>
    <w:rsid w:val="00B12D66"/>
    <w:rsid w:val="00B23449"/>
    <w:rsid w:val="00B25F9A"/>
    <w:rsid w:val="00B45689"/>
    <w:rsid w:val="00B66FBD"/>
    <w:rsid w:val="00B74BA0"/>
    <w:rsid w:val="00B91C5A"/>
    <w:rsid w:val="00BC2D2B"/>
    <w:rsid w:val="00BD44D0"/>
    <w:rsid w:val="00BE4E9A"/>
    <w:rsid w:val="00C1611C"/>
    <w:rsid w:val="00C24D5E"/>
    <w:rsid w:val="00C25EF1"/>
    <w:rsid w:val="00C54C49"/>
    <w:rsid w:val="00C630F5"/>
    <w:rsid w:val="00C647E1"/>
    <w:rsid w:val="00C700AD"/>
    <w:rsid w:val="00C9189B"/>
    <w:rsid w:val="00CC1B6C"/>
    <w:rsid w:val="00CE5338"/>
    <w:rsid w:val="00CE7ED4"/>
    <w:rsid w:val="00D01F9A"/>
    <w:rsid w:val="00D0262E"/>
    <w:rsid w:val="00D02AAA"/>
    <w:rsid w:val="00D049BD"/>
    <w:rsid w:val="00D13D4C"/>
    <w:rsid w:val="00D273EB"/>
    <w:rsid w:val="00D406D3"/>
    <w:rsid w:val="00D85BBD"/>
    <w:rsid w:val="00D9518E"/>
    <w:rsid w:val="00DC37E1"/>
    <w:rsid w:val="00DC6656"/>
    <w:rsid w:val="00DC7ED8"/>
    <w:rsid w:val="00DD66DE"/>
    <w:rsid w:val="00DE1F0A"/>
    <w:rsid w:val="00DF33F2"/>
    <w:rsid w:val="00E16470"/>
    <w:rsid w:val="00E24AAC"/>
    <w:rsid w:val="00E44BF0"/>
    <w:rsid w:val="00E60E40"/>
    <w:rsid w:val="00E60F47"/>
    <w:rsid w:val="00E63FA8"/>
    <w:rsid w:val="00E67E92"/>
    <w:rsid w:val="00E73851"/>
    <w:rsid w:val="00EA0B04"/>
    <w:rsid w:val="00EB6CF7"/>
    <w:rsid w:val="00ED38B2"/>
    <w:rsid w:val="00F04987"/>
    <w:rsid w:val="00F051BE"/>
    <w:rsid w:val="00F432DE"/>
    <w:rsid w:val="00F56078"/>
    <w:rsid w:val="00F758AA"/>
    <w:rsid w:val="00F8623C"/>
    <w:rsid w:val="00FA0962"/>
    <w:rsid w:val="00FA7433"/>
    <w:rsid w:val="00FD28A3"/>
    <w:rsid w:val="00FE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F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科技处</dc:creator>
  <cp:lastModifiedBy>科技处</cp:lastModifiedBy>
  <cp:revision>1</cp:revision>
  <dcterms:created xsi:type="dcterms:W3CDTF">2020-11-13T08:04:00Z</dcterms:created>
  <dcterms:modified xsi:type="dcterms:W3CDTF">2020-11-13T08:04:00Z</dcterms:modified>
</cp:coreProperties>
</file>